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27" w:rsidRPr="008C2DD0" w:rsidRDefault="00DC1927" w:rsidP="00DC1927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Bold" w:hAnsi="Times New Roman" w:cs="Times New Roman"/>
          <w:b/>
          <w:bCs/>
          <w:sz w:val="28"/>
          <w:szCs w:val="28"/>
        </w:rPr>
      </w:pPr>
      <w:r w:rsidRPr="008C2DD0">
        <w:rPr>
          <w:rFonts w:ascii="Times New Roman" w:eastAsia="LibreBaskerville-Bold" w:hAnsi="Times New Roman" w:cs="Times New Roman"/>
          <w:b/>
          <w:bCs/>
          <w:sz w:val="28"/>
          <w:szCs w:val="28"/>
        </w:rPr>
        <w:t>Korupcia - základné pojmy</w:t>
      </w:r>
    </w:p>
    <w:p w:rsidR="00DC1927" w:rsidRDefault="00DC1927" w:rsidP="00DC1927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</w:pPr>
    </w:p>
    <w:p w:rsidR="00DC1927" w:rsidRPr="00DC1927" w:rsidRDefault="00DC1927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</w:pPr>
      <w:r w:rsidRPr="00DC1927"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  <w:t>Pojem korupcia</w:t>
      </w:r>
    </w:p>
    <w:p w:rsidR="008C2DD0" w:rsidRDefault="00DC1927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Vo všeobecnosti možno pojem korupcia definovať ako </w:t>
      </w:r>
      <w:r w:rsidRPr="00DC1927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>konflikt medzi verejným a</w:t>
      </w:r>
      <w:r w:rsidR="008C2DD0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C1927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 xml:space="preserve">súkromným záujmom,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ktorý sa prejavuje zneužitím postavenia alebo funkcie v</w:t>
      </w:r>
      <w:r w:rsidR="008C2DD0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politike, verejnej správe alebo hospodárstve na osobný prospech. </w:t>
      </w:r>
    </w:p>
    <w:p w:rsidR="00DC1927" w:rsidRPr="008C2DD0" w:rsidRDefault="00DC1927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</w:pP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Typickým</w:t>
      </w:r>
      <w:r w:rsidR="008C2DD0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znakom korupcie je konanie v tajnosti a v rozpore s dobrými mravmi, medzi</w:t>
      </w:r>
      <w:r w:rsidR="008C2DD0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dvomi alebo viacerými stranami, často spojené s nátlakom na jednu stranu.</w:t>
      </w:r>
    </w:p>
    <w:p w:rsidR="00DC1927" w:rsidRDefault="00DC1927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Môže ísť aj o akékoľvek iné konanie osôb, ktorým sú zverené právomoci vo</w:t>
      </w:r>
      <w:r w:rsidR="008C2DD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verejnom alebo súkromnom sektore, ktoré odporuje povinnostiam vyplývajú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>cich</w:t>
      </w:r>
      <w:r w:rsidR="008C2DD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z ich postavenia a smeruje k získaniu neoprávnených výhod.</w:t>
      </w:r>
      <w:bookmarkStart w:id="0" w:name="_GoBack"/>
      <w:bookmarkEnd w:id="0"/>
    </w:p>
    <w:p w:rsidR="00DC1927" w:rsidRPr="00DC1927" w:rsidRDefault="00DC1927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357D21" w:rsidRDefault="00DC1927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-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Slovenské trestné právo pojem korupcia spája s trestnými činmi</w:t>
      </w:r>
      <w:r w:rsidR="00357D21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:</w:t>
      </w:r>
    </w:p>
    <w:p w:rsidR="00357D21" w:rsidRDefault="00DC1927" w:rsidP="00357D21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</w:pPr>
      <w:r w:rsidRPr="00357D21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prijímania</w:t>
      </w:r>
      <w:r w:rsidR="008C2DD0" w:rsidRPr="00357D21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 xml:space="preserve"> </w:t>
      </w:r>
      <w:r w:rsidRPr="00357D21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 xml:space="preserve">úplatku, </w:t>
      </w:r>
    </w:p>
    <w:p w:rsidR="00357D21" w:rsidRDefault="00DC1927" w:rsidP="00357D21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</w:pPr>
      <w:r w:rsidRPr="00357D21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podplácania,</w:t>
      </w:r>
    </w:p>
    <w:p w:rsidR="00357D21" w:rsidRDefault="00DC1927" w:rsidP="00357D21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</w:pPr>
      <w:r w:rsidRPr="00357D21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 xml:space="preserve">nepriamej korupcie, </w:t>
      </w:r>
    </w:p>
    <w:p w:rsidR="00357D21" w:rsidRDefault="00DC1927" w:rsidP="00357D21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</w:pPr>
      <w:r w:rsidRPr="00357D21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 xml:space="preserve">volebnej korupcie a </w:t>
      </w:r>
    </w:p>
    <w:p w:rsidR="008C2DD0" w:rsidRPr="00357D21" w:rsidRDefault="00DC1927" w:rsidP="00357D21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</w:pPr>
      <w:r w:rsidRPr="00357D21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športovej</w:t>
      </w:r>
      <w:r w:rsidR="008C2DD0" w:rsidRPr="00357D21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 xml:space="preserve"> </w:t>
      </w:r>
      <w:r w:rsidRPr="00357D21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korupcie.</w:t>
      </w:r>
    </w:p>
    <w:p w:rsidR="00DC1927" w:rsidRDefault="00DC1927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</w:p>
    <w:p w:rsidR="00DC1927" w:rsidRDefault="00DC1927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-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Vo svete sa pod týmto pojmom často vnímajú aj iné formy, napríklad</w:t>
      </w:r>
      <w:r w:rsidR="008C2DD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DC1927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zneužitie právomoci verejného činiteľa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ale i </w:t>
      </w:r>
      <w:r w:rsidRPr="00DC1927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lobing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(vplyvy súkromného sektora</w:t>
      </w:r>
      <w:r w:rsidR="008C2DD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na verejné inštitúcie), </w:t>
      </w:r>
      <w:r w:rsidRPr="00DC1927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nepotizmus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(rodinkárstvo) a </w:t>
      </w:r>
      <w:r w:rsidRPr="00DC1927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klientelizmus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(distribúcia</w:t>
      </w:r>
      <w:r w:rsidR="008C2DD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DC1927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statkov a služieb na základe osobných, priateľských, resp. iných spriazneností).</w:t>
      </w:r>
    </w:p>
    <w:p w:rsidR="008C2DD0" w:rsidRPr="00DC1927" w:rsidRDefault="008C2DD0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8C2DD0" w:rsidRPr="008C2DD0" w:rsidRDefault="008C2DD0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sz w:val="24"/>
          <w:szCs w:val="24"/>
        </w:rPr>
      </w:pPr>
      <w:r>
        <w:rPr>
          <w:rFonts w:ascii="Times New Roman" w:eastAsia="LibreBaskerville-Regular" w:hAnsi="Times New Roman" w:cs="Times New Roman"/>
          <w:sz w:val="24"/>
          <w:szCs w:val="24"/>
        </w:rPr>
        <w:t xml:space="preserve">-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Ide o také správanie sa, výsledkom ktorého je na jednej strane „spokojnosť“ s</w:t>
      </w:r>
      <w:r>
        <w:rPr>
          <w:rFonts w:ascii="Times New Roman" w:eastAsia="LibreBaskerville-Regular" w:hAnsi="Times New Roman" w:cs="Times New Roman"/>
          <w:sz w:val="24"/>
          <w:szCs w:val="24"/>
        </w:rPr>
        <w:t xml:space="preserve">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poskytnutím nejakej neoprávnenej výhody, a na strane druhej poškodzovanie</w:t>
      </w:r>
      <w:r w:rsidR="00363B5E">
        <w:rPr>
          <w:rFonts w:ascii="Times New Roman" w:eastAsia="LibreBaskerville-Regular" w:hAnsi="Times New Roman" w:cs="Times New Roman"/>
          <w:sz w:val="24"/>
          <w:szCs w:val="24"/>
        </w:rPr>
        <w:t xml:space="preserve">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verejných zá</w:t>
      </w:r>
      <w:r w:rsidR="00363B5E">
        <w:rPr>
          <w:rFonts w:ascii="Times New Roman" w:eastAsia="LibreBaskerville-Regular" w:hAnsi="Times New Roman" w:cs="Times New Roman"/>
          <w:sz w:val="24"/>
          <w:szCs w:val="24"/>
        </w:rPr>
        <w:t xml:space="preserve">ujmov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verejnosti, teda „nespokojnosť“ ostatných. Niekde uprostred</w:t>
      </w:r>
      <w:r w:rsidR="00363B5E">
        <w:rPr>
          <w:rFonts w:ascii="Times New Roman" w:eastAsia="LibreBaskerville-Regular" w:hAnsi="Times New Roman" w:cs="Times New Roman"/>
          <w:sz w:val="24"/>
          <w:szCs w:val="24"/>
        </w:rPr>
        <w:t xml:space="preserve">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stojí obá</w:t>
      </w:r>
      <w:r w:rsidR="00363B5E">
        <w:rPr>
          <w:rFonts w:ascii="Times New Roman" w:eastAsia="LibreBaskerville-Regular" w:hAnsi="Times New Roman" w:cs="Times New Roman"/>
          <w:sz w:val="24"/>
          <w:szCs w:val="24"/>
        </w:rPr>
        <w:t xml:space="preserve">lka s peniazmi,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dovolenka,</w:t>
      </w:r>
      <w:r>
        <w:rPr>
          <w:rFonts w:ascii="Times New Roman" w:eastAsia="LibreBaskerville-Regular" w:hAnsi="Times New Roman" w:cs="Times New Roman"/>
          <w:sz w:val="24"/>
          <w:szCs w:val="24"/>
        </w:rPr>
        <w:t xml:space="preserve">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auto či iná neoprávnená výhoda.</w:t>
      </w:r>
    </w:p>
    <w:p w:rsidR="006F4C5A" w:rsidRDefault="008C2DD0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sz w:val="24"/>
          <w:szCs w:val="24"/>
        </w:rPr>
      </w:pPr>
      <w:r w:rsidRPr="008C2DD0">
        <w:rPr>
          <w:rFonts w:ascii="Times New Roman" w:eastAsia="LibreBaskerville-Regular" w:hAnsi="Times New Roman" w:cs="Times New Roman"/>
          <w:sz w:val="24"/>
          <w:szCs w:val="24"/>
        </w:rPr>
        <w:t>Správanie sa jednej strany (tej, ktorá</w:t>
      </w:r>
      <w:r>
        <w:rPr>
          <w:rFonts w:ascii="Times New Roman" w:eastAsia="LibreBaskerville-Regular" w:hAnsi="Times New Roman" w:cs="Times New Roman"/>
          <w:sz w:val="24"/>
          <w:szCs w:val="24"/>
        </w:rPr>
        <w:t xml:space="preserve">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úplatok poskytuje), ako aj druhej</w:t>
      </w:r>
      <w:r>
        <w:rPr>
          <w:rFonts w:ascii="Times New Roman" w:eastAsia="LibreBaskerville-Regular" w:hAnsi="Times New Roman" w:cs="Times New Roman"/>
          <w:sz w:val="24"/>
          <w:szCs w:val="24"/>
        </w:rPr>
        <w:t xml:space="preserve">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strany (tej, ktorá úplatok prijíma), je v</w:t>
      </w:r>
      <w:r>
        <w:rPr>
          <w:rFonts w:ascii="Times New Roman" w:eastAsia="LibreBaskerville-Regular" w:hAnsi="Times New Roman" w:cs="Times New Roman"/>
          <w:sz w:val="24"/>
          <w:szCs w:val="24"/>
        </w:rPr>
        <w:t xml:space="preserve">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rozpore so zákonmi a je trestnoprávne</w:t>
      </w:r>
      <w:r>
        <w:rPr>
          <w:rFonts w:ascii="Times New Roman" w:eastAsia="LibreBaskerville-Regular" w:hAnsi="Times New Roman" w:cs="Times New Roman"/>
          <w:sz w:val="24"/>
          <w:szCs w:val="24"/>
        </w:rPr>
        <w:t xml:space="preserve"> </w:t>
      </w:r>
      <w:r w:rsidRPr="008C2DD0">
        <w:rPr>
          <w:rFonts w:ascii="Times New Roman" w:eastAsia="LibreBaskerville-Regular" w:hAnsi="Times New Roman" w:cs="Times New Roman"/>
          <w:sz w:val="24"/>
          <w:szCs w:val="24"/>
        </w:rPr>
        <w:t>postihnuteľné.</w:t>
      </w:r>
    </w:p>
    <w:p w:rsidR="00363B5E" w:rsidRDefault="00363B5E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sz w:val="24"/>
          <w:szCs w:val="24"/>
        </w:rPr>
      </w:pPr>
    </w:p>
    <w:p w:rsidR="00363B5E" w:rsidRPr="00363B5E" w:rsidRDefault="00363B5E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  <w:t xml:space="preserve">Prijímanie úplatku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(§ 328 až § 330 Trestného zákona) znamená žiadať, dať si</w:t>
      </w:r>
      <w:r w:rsidR="001A7E2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sľúbiť, či prijať určité plnenie majetkovej alebo nemajetkovej povahy, na ktoré by</w:t>
      </w:r>
      <w:r w:rsidR="001A7E2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inak podplácaná osoba nemala nárok za to, aby podplácajúcej osobe poskytla</w:t>
      </w:r>
      <w:r w:rsidR="001A7E2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určité výhody, spočívajú</w:t>
      </w:r>
      <w:r w:rsidR="001A7E2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ce v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porušení svojich povinností vyplývajúcich zo</w:t>
      </w:r>
      <w:r w:rsidR="001A7E2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zamestnania, povolania, funkcie alebo postavenia alebo v súvislosti s obstarávaním</w:t>
      </w:r>
      <w:r w:rsidR="001A7E2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všeobecného záujmu. Ide o </w:t>
      </w:r>
      <w:r w:rsidRPr="001A7E29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tzv. pasívnu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1A7E29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korupciu,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osoba sa necháva podplácať.</w:t>
      </w:r>
    </w:p>
    <w:p w:rsidR="00363B5E" w:rsidRPr="00363B5E" w:rsidRDefault="00363B5E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>Príklad</w:t>
      </w:r>
    </w:p>
    <w:p w:rsidR="00363B5E" w:rsidRPr="00363B5E" w:rsidRDefault="00363B5E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>Starosta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, ako správny orgán v stavebnom konaní rozhodne o stavebnom</w:t>
      </w:r>
      <w:r w:rsidR="00357D21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povolení v rozpore so zákonom o stavebnom konaní a za toto príjme právo</w:t>
      </w:r>
      <w:r w:rsidR="00357D21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bezplatne užívať prímorskú vilku na dva týždne. (Súd mu môže uložiť trest odňatia</w:t>
      </w:r>
      <w:r w:rsidR="00357D21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slobody v trvaní dva až päť rokov.)</w:t>
      </w:r>
    </w:p>
    <w:p w:rsidR="00363B5E" w:rsidRPr="00363B5E" w:rsidRDefault="00363B5E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>-</w:t>
      </w:r>
      <w:r w:rsidR="00CC039C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 xml:space="preserve">Lekár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 prednosta rozhodne o hospitalizovaní pacienta na oddelenie, ktoré</w:t>
      </w:r>
      <w:r w:rsidR="00357D21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riadi a rozhodne o tom, že ho bude sám operovať a za toto príjme úplatok vo výške</w:t>
      </w:r>
      <w:r w:rsidR="00357D21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300 € (Súd mu môže uložiť trest odňatia slobody v trvaní tri až osem rokov.)</w:t>
      </w:r>
    </w:p>
    <w:p w:rsidR="00363B5E" w:rsidRDefault="00363B5E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 xml:space="preserve">Policajt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si vypýta 50 € za to, že nebude riešiť prekročenie rýchlosti v obci o 20</w:t>
      </w:r>
      <w:r w:rsidR="00357D21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km/h. (Súd mu môže uložiť trest odňatia slobody v trvaní päť až dvanásť rokov.)</w:t>
      </w:r>
    </w:p>
    <w:p w:rsidR="00363B5E" w:rsidRDefault="00363B5E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68332F" w:rsidRDefault="0068332F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363B5E" w:rsidRPr="00363B5E" w:rsidRDefault="00363B5E" w:rsidP="00357D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363B5E" w:rsidRPr="00CC039C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  <w:lastRenderedPageBreak/>
        <w:t xml:space="preserve">Podplácanie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(§ 332 až § 334 Trestného zákona) znamená sľúbiť, ponúknuť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alebo poskytnúť určité plnenie majetkovej alebo nemajetkovej povahy zo strany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podplácajúcej osoby, na ktoré by inak podplácaná osoba nemala nárok za to, aby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podplácajúcej osobe poskytla určité výhody, spočívajúce v porušení svojich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povinností vyplývajúcich zo zamestnania, povolania, funkcie alebo postavenia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alebo tak koná v súvislosti s obstarávaním veci všeobecného záujmu. Ide o </w:t>
      </w:r>
      <w:r w:rsidRPr="00CC039C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tzv.</w:t>
      </w:r>
      <w:r w:rsidR="00CC039C" w:rsidRPr="00CC039C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 xml:space="preserve"> </w:t>
      </w:r>
      <w:r w:rsidRPr="00CC039C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aktívnu korupciu</w:t>
      </w:r>
      <w:r w:rsidRP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, osoba podpláca.</w:t>
      </w:r>
    </w:p>
    <w:p w:rsidR="00363B5E" w:rsidRP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>Príklad</w:t>
      </w:r>
    </w:p>
    <w:p w:rsid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-Štatutár stavebnej firmy sľúbi predsedovi výberovej komisie, že ak bude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mestský projekt rekonštrukcie parku pridelený jeho firme, táto následne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predsedovi výberovej komisie za tretinovú cenu zrekonštruuje dom. (Súd mu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môže uložiť trest odňatia slobody v trvaní šesť mesiacov až tri roky.)</w:t>
      </w:r>
    </w:p>
    <w:p w:rsid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363B5E" w:rsidRPr="00363B5E" w:rsidRDefault="00363B5E" w:rsidP="00363B5E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363B5E" w:rsidRP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  <w:t xml:space="preserve">Nepriama korupcia </w:t>
      </w: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>(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§ 336 Trestného zákona) je založená na prijímaní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úplatku osobou, ktorá má ďalej svojim vplyvom pôsobiť na iného, aby ten poskytol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podplácajúcej osobe určité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výhody, spočívajúce v porušení svojich povinností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vyplývajúcich zo zamestnania, povolania, funkcie alebo postavenia alebo na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podplácaní takejto, na iného pôsobiacej osoby. Nepriama korupcia sa môže viazať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aj na obstaranie veci všeobecného záujmu.</w:t>
      </w:r>
    </w:p>
    <w:p w:rsidR="00363B5E" w:rsidRP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>Príklad:</w:t>
      </w:r>
    </w:p>
    <w:p w:rsidR="00363B5E" w:rsidRP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-Advokát požiada o 1000 € za to, že sa prihovorí u sudcu - kamaráta, aby dal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obžalovanému nižší trest. (Za takýto príhovor súd môže advokátovi uložiť trest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odňatia slobody až na tri roky.)</w:t>
      </w:r>
    </w:p>
    <w:p w:rsid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-Rodičia dieťaťa, ktoré súrne potrebuje operáciu, ponúkne peniaze známemu,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aby ten presvedčil primára chirurgie, aby ich dieťa operoval prednostne. (Súd mu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môže uložiť trest odňatia slobody až na dva roky.)</w:t>
      </w:r>
    </w:p>
    <w:p w:rsidR="00363B5E" w:rsidRDefault="00363B5E" w:rsidP="00363B5E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363B5E" w:rsidRP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  <w:t xml:space="preserve">Volebná korupcia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(§ 336a Trestného zákona) je založená na ponúknutí alebo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sľúbení úplatku tomu, kto má právo voliť, zúčastniť sa na referende alebo na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ľudovom hlasovaní o odvolaní prezidenta Slovenskej republiky, ako aj na žiadaní,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prijatí alebo prísľubu úplatku osobou ktorá má právo voliť, zúčastniť sa na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referende alebo na ľudovom hlasovaní o odvolaní prezidenta Slovenskej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republiky, aby volil alebo hlasoval určitým spôsobom, nevolil alebo nehlasoval</w:t>
      </w:r>
    </w:p>
    <w:p w:rsidR="00363B5E" w:rsidRP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určitým spôsobom.</w:t>
      </w:r>
    </w:p>
    <w:p w:rsidR="00363B5E" w:rsidRP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>Príklad</w:t>
      </w:r>
    </w:p>
    <w:p w:rsidR="00363B5E" w:rsidRP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</w:t>
      </w:r>
      <w:r w:rsidR="0068332F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Zástupcovia politickej strany si kupujú voličské hlasy - dar alebo službu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podmieňujú volením ich kandidáta. (Súd im môže uložiť trest odňatia slobody v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trvaní až na dva roky.)</w:t>
      </w:r>
    </w:p>
    <w:p w:rsidR="00363B5E" w:rsidRDefault="00CC039C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- </w:t>
      </w:r>
      <w:r w:rsidR="00363B5E"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"Vybavovač" si žiada finančnú hotovosť od členky politickej strany za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="00363B5E"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zabezpečenie volebných hlasov. Za jeden hlas požaduje 4 eurá. (Súd mu môže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="00363B5E"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uložiť trest odňatia slobody v trvaní až na jeden rok.)</w:t>
      </w:r>
    </w:p>
    <w:p w:rsidR="00363B5E" w:rsidRPr="00363B5E" w:rsidRDefault="00363B5E" w:rsidP="00CC03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363B5E" w:rsidRPr="00363B5E" w:rsidRDefault="00363B5E" w:rsidP="00E0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  <w:t xml:space="preserve">Športová korupcia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(§ 336b Trestného zákona) je založená na manipulácii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priebehu a výsledkov súťaží a to tak zo strany podplácajúceho, ktorý je iniciátorom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tejto nekalej činnosti, ako aj podplácaného, ktorý v praxi manipuláciu súťaže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(zápasu) vykoná na športovisku. Prísnejšie sa posudzuje korupčné správanie osôb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činných v športovom hnutí (napr. rozhodca, funkcionár) a opakovanie takejto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trestnej činnosti.</w:t>
      </w:r>
    </w:p>
    <w:p w:rsidR="00363B5E" w:rsidRPr="00363B5E" w:rsidRDefault="00363B5E" w:rsidP="00E0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</w:pPr>
      <w:r w:rsidRPr="00363B5E">
        <w:rPr>
          <w:rFonts w:ascii="Times New Roman" w:eastAsia="LibreBaskerville-Bold" w:hAnsi="Times New Roman" w:cs="Times New Roman"/>
          <w:b/>
          <w:bCs/>
          <w:color w:val="000000"/>
          <w:sz w:val="24"/>
          <w:szCs w:val="24"/>
        </w:rPr>
        <w:t>Príklad</w:t>
      </w:r>
    </w:p>
    <w:p w:rsidR="00363B5E" w:rsidRPr="00363B5E" w:rsidRDefault="00363B5E" w:rsidP="00E0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-Hráč bol kontaktovaný s ponukou úplatku 500 €, aby slabým výkonom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ovplyvnil výsledok zápasu. (Súd mu môže uložiť trest odňatia slobody v trvaní na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jeden až päť rokov.)</w:t>
      </w:r>
    </w:p>
    <w:p w:rsidR="00363B5E" w:rsidRDefault="00363B5E" w:rsidP="00E0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-Rozhodca za prevzatý úplatok, fľašu koňaku, neuzná regulárny gól alebo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bezdôvodne nariadi pokutový výkop a tak želateľne ovplyvní výsledok súťaže.</w:t>
      </w:r>
      <w:r w:rsidR="00CC039C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(Súd mu môže uložiť trest odňatia slobody v trvaní na jeden až päť rokov.)</w:t>
      </w:r>
    </w:p>
    <w:p w:rsidR="00CC039C" w:rsidRDefault="00CC039C" w:rsidP="00E0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363B5E" w:rsidRPr="00363B5E" w:rsidRDefault="00363B5E" w:rsidP="00E0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363B5E" w:rsidRDefault="00363B5E" w:rsidP="00E0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Za trestné činy korupcie môžu byť trestne zodpovedné aj </w:t>
      </w:r>
      <w:r w:rsidRPr="00363B5E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právnické osoby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. Ak sa</w:t>
      </w:r>
      <w:r w:rsidR="00E061F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vedenie firmy alebo jej zamestnanci dopustia trestných činov prijímania úplatku,</w:t>
      </w:r>
      <w:r w:rsidR="00E061F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podplácania alebo nepriamej korupcie hrozí im za to napr. trest: zrušenie</w:t>
      </w:r>
      <w:r w:rsidR="00E061F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právnickej osoby, prepadnutie majetku, peňažný trest, zákaz činnosti, zákaz</w:t>
      </w:r>
      <w:r w:rsidR="00E061F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prijímať dotácie alebo subvencie, zákaz prijímať pomoc a podporu poskytovanú z</w:t>
      </w:r>
      <w:r w:rsidR="00E061F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Pr="00363B5E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fondov Európskej únie alebo zákaz účasti vo verejnom obstarávaní.</w:t>
      </w:r>
    </w:p>
    <w:p w:rsidR="0095648A" w:rsidRDefault="0095648A" w:rsidP="00E061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95648A" w:rsidRPr="006625B0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</w:pPr>
      <w:r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  <w:t>R</w:t>
      </w:r>
      <w:r w:rsidR="0095648A" w:rsidRPr="006625B0"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  <w:t>ozdiel je medzi darom a ú</w:t>
      </w:r>
      <w:r>
        <w:rPr>
          <w:rFonts w:ascii="Times New Roman" w:eastAsia="LibreBaskerville-Bold" w:hAnsi="Times New Roman" w:cs="Times New Roman"/>
          <w:b/>
          <w:bCs/>
          <w:color w:val="FF0000"/>
          <w:sz w:val="24"/>
          <w:szCs w:val="24"/>
        </w:rPr>
        <w:t>platkom</w:t>
      </w:r>
    </w:p>
    <w:p w:rsidR="006625B0" w:rsidRPr="006625B0" w:rsidRDefault="0095648A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</w:pPr>
      <w:r w:rsidRPr="006625B0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Úplatok</w:t>
      </w:r>
      <w:r w:rsidR="006625B0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 xml:space="preserve"> - </w:t>
      </w:r>
      <w:r w:rsid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ú</w:t>
      </w:r>
      <w:r w:rsidR="006625B0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platok, </w:t>
      </w:r>
      <w:r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sa dáva tajne, </w:t>
      </w:r>
    </w:p>
    <w:p w:rsidR="006625B0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              -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existuje očakávanie konkrétnej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protihodnoty, 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protislužby,</w:t>
      </w:r>
    </w:p>
    <w:p w:rsidR="006625B0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              -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hodnota úplatku je obvykle vyčísliteľná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v peniazoch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a primeraná tejto</w:t>
      </w:r>
    </w:p>
    <w:p w:rsidR="006625B0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                protihodnote,</w:t>
      </w:r>
    </w:p>
    <w:p w:rsidR="0095648A" w:rsidRPr="006625B0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              -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obdarovaný má spôsobilosť ovplyvniť chod určitých procesov.</w:t>
      </w:r>
    </w:p>
    <w:p w:rsidR="006625B0" w:rsidRDefault="0095648A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Úplatkom môže byť</w:t>
      </w:r>
      <w:r w:rsid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- </w:t>
      </w:r>
      <w:r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vec hnuteľná (napr. peniaze, auto, šperk)</w:t>
      </w:r>
    </w:p>
    <w:p w:rsidR="006625B0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                                 -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nehnuteľná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(napr. pozemok, byt, nebytový priestor);</w:t>
      </w:r>
    </w:p>
    <w:p w:rsidR="006625B0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                                 -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plnenie majetkovej povahy (napr. oprava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domu, prenajatie bytu za </w:t>
      </w:r>
    </w:p>
    <w:p w:rsidR="006625B0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                                  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zvýhodnenú cenu);</w:t>
      </w:r>
    </w:p>
    <w:p w:rsidR="006625B0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                               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-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plnenie nemajetkovej povahy (napr.</w:t>
      </w:r>
      <w:r w:rsidR="00FF56D3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prednostné vybavenie stavebného</w:t>
      </w:r>
    </w:p>
    <w:p w:rsidR="0095648A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                                   </w:t>
      </w:r>
      <w:r w:rsidR="0095648A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povolenia).</w:t>
      </w:r>
    </w:p>
    <w:p w:rsidR="006625B0" w:rsidRPr="00FF56D3" w:rsidRDefault="006625B0" w:rsidP="0095648A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</w:pPr>
      <w:r w:rsidRPr="00FF56D3">
        <w:rPr>
          <w:rFonts w:ascii="Times New Roman" w:eastAsia="LibreBaskerville-Regular" w:hAnsi="Times New Roman" w:cs="Times New Roman"/>
          <w:b/>
          <w:color w:val="000000"/>
          <w:sz w:val="24"/>
          <w:szCs w:val="24"/>
        </w:rPr>
        <w:t>Dar</w:t>
      </w:r>
    </w:p>
    <w:p w:rsidR="006625B0" w:rsidRDefault="006625B0" w:rsidP="006625B0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>- dar sa dáva verejne, bez potreby ukrývania sa,</w:t>
      </w:r>
    </w:p>
    <w:p w:rsidR="006625B0" w:rsidRDefault="006625B0" w:rsidP="006625B0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- </w:t>
      </w:r>
      <w:r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neočaká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va </w:t>
      </w:r>
      <w:r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sa ani žiadna protisluž</w:t>
      </w: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>ba,</w:t>
      </w:r>
      <w:r w:rsidR="00FF56D3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</w:t>
      </w:r>
      <w:r w:rsidR="004A054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protihodnota ( prejav vďačnosti, náklonnosti),</w:t>
      </w:r>
    </w:p>
    <w:p w:rsidR="006625B0" w:rsidRPr="006625B0" w:rsidRDefault="006625B0" w:rsidP="006625B0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- </w:t>
      </w:r>
      <w:r w:rsidR="00FF56D3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hodnota</w:t>
      </w:r>
      <w:r w:rsidR="00FF56D3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daru </w:t>
      </w:r>
      <w:r w:rsidR="00FF56D3" w:rsidRPr="006625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 nie je podstatná</w:t>
      </w:r>
      <w:r w:rsidR="00FF56D3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,</w:t>
      </w:r>
    </w:p>
    <w:p w:rsidR="00FF56D3" w:rsidRDefault="00FF56D3" w:rsidP="00FF56D3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 xml:space="preserve">- </w:t>
      </w:r>
      <w:r w:rsidR="004A0549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právomoci prijímateľa nie sú podstatné.</w:t>
      </w:r>
    </w:p>
    <w:p w:rsidR="006625B0" w:rsidRPr="006625B0" w:rsidRDefault="006625B0" w:rsidP="006625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6625B0" w:rsidRDefault="006625B0" w:rsidP="006625B0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6625B0" w:rsidRDefault="006625B0" w:rsidP="006625B0">
      <w:pPr>
        <w:autoSpaceDE w:val="0"/>
        <w:autoSpaceDN w:val="0"/>
        <w:adjustRightInd w:val="0"/>
        <w:spacing w:after="0" w:line="240" w:lineRule="auto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95648A" w:rsidRDefault="00577EB1" w:rsidP="00956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>Zdroj:</w:t>
      </w:r>
    </w:p>
    <w:p w:rsidR="00577EB1" w:rsidRDefault="00577EB1" w:rsidP="00956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color w:val="000000"/>
          <w:sz w:val="24"/>
          <w:szCs w:val="24"/>
        </w:rPr>
        <w:t>www.bojprotikorupcii.vlada.gov.sk</w:t>
      </w:r>
      <w:r w:rsidR="00447DB0">
        <w:rPr>
          <w:rFonts w:ascii="Times New Roman" w:eastAsia="LibreBaskerville-Regular" w:hAnsi="Times New Roman" w:cs="Times New Roman"/>
          <w:color w:val="000000"/>
          <w:sz w:val="24"/>
          <w:szCs w:val="24"/>
        </w:rPr>
        <w:t>, upravené</w:t>
      </w:r>
    </w:p>
    <w:p w:rsidR="004A0549" w:rsidRDefault="004A0549" w:rsidP="00956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4A0549" w:rsidRPr="006625B0" w:rsidRDefault="004A0549" w:rsidP="009564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sectPr w:rsidR="004A0549" w:rsidRPr="006625B0" w:rsidSect="006F4C5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20C" w:rsidRDefault="00E6220C" w:rsidP="00447DB0">
      <w:pPr>
        <w:spacing w:after="0" w:line="240" w:lineRule="auto"/>
      </w:pPr>
      <w:r>
        <w:separator/>
      </w:r>
    </w:p>
  </w:endnote>
  <w:endnote w:type="continuationSeparator" w:id="0">
    <w:p w:rsidR="00E6220C" w:rsidRDefault="00E6220C" w:rsidP="00447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reBaskerville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reBaskerville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18414"/>
      <w:docPartObj>
        <w:docPartGallery w:val="Page Numbers (Bottom of Page)"/>
        <w:docPartUnique/>
      </w:docPartObj>
    </w:sdtPr>
    <w:sdtEndPr/>
    <w:sdtContent>
      <w:p w:rsidR="00447DB0" w:rsidRDefault="00E6220C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0E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7DB0" w:rsidRDefault="00447DB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20C" w:rsidRDefault="00E6220C" w:rsidP="00447DB0">
      <w:pPr>
        <w:spacing w:after="0" w:line="240" w:lineRule="auto"/>
      </w:pPr>
      <w:r>
        <w:separator/>
      </w:r>
    </w:p>
  </w:footnote>
  <w:footnote w:type="continuationSeparator" w:id="0">
    <w:p w:rsidR="00E6220C" w:rsidRDefault="00E6220C" w:rsidP="00447D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236B5"/>
    <w:multiLevelType w:val="hybridMultilevel"/>
    <w:tmpl w:val="1E748A48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27"/>
    <w:rsid w:val="000449E3"/>
    <w:rsid w:val="001A7E29"/>
    <w:rsid w:val="002763A2"/>
    <w:rsid w:val="00357D21"/>
    <w:rsid w:val="00363B5E"/>
    <w:rsid w:val="00447DB0"/>
    <w:rsid w:val="004A0549"/>
    <w:rsid w:val="00577EB1"/>
    <w:rsid w:val="006625B0"/>
    <w:rsid w:val="0068332F"/>
    <w:rsid w:val="006F4C5A"/>
    <w:rsid w:val="008C2DD0"/>
    <w:rsid w:val="0095648A"/>
    <w:rsid w:val="009801B7"/>
    <w:rsid w:val="00A10EAA"/>
    <w:rsid w:val="00A610AC"/>
    <w:rsid w:val="00CC039C"/>
    <w:rsid w:val="00DC1927"/>
    <w:rsid w:val="00E061F9"/>
    <w:rsid w:val="00E6220C"/>
    <w:rsid w:val="00FF1A4D"/>
    <w:rsid w:val="00FF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57D2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447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47DB0"/>
  </w:style>
  <w:style w:type="paragraph" w:styleId="Pta">
    <w:name w:val="footer"/>
    <w:basedOn w:val="Normlny"/>
    <w:link w:val="PtaChar"/>
    <w:uiPriority w:val="99"/>
    <w:unhideWhenUsed/>
    <w:rsid w:val="00447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47D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57D2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447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447DB0"/>
  </w:style>
  <w:style w:type="paragraph" w:styleId="Pta">
    <w:name w:val="footer"/>
    <w:basedOn w:val="Normlny"/>
    <w:link w:val="PtaChar"/>
    <w:uiPriority w:val="99"/>
    <w:unhideWhenUsed/>
    <w:rsid w:val="00447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47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1123</Words>
  <Characters>6406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Mgr. Marek Bubeník</cp:lastModifiedBy>
  <cp:revision>2</cp:revision>
  <dcterms:created xsi:type="dcterms:W3CDTF">2018-10-16T09:35:00Z</dcterms:created>
  <dcterms:modified xsi:type="dcterms:W3CDTF">2018-10-16T09:35:00Z</dcterms:modified>
</cp:coreProperties>
</file>